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2B" w:rsidRDefault="00292308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45720" distB="45720" distL="114300" distR="114300" simplePos="0" relativeHeight="251658240" behindDoc="0" locked="0" layoutInCell="1" hidden="0" allowOverlap="1">
            <wp:simplePos x="0" y="0"/>
            <wp:positionH relativeFrom="column">
              <wp:posOffset>4181475</wp:posOffset>
            </wp:positionH>
            <wp:positionV relativeFrom="paragraph">
              <wp:posOffset>215900</wp:posOffset>
            </wp:positionV>
            <wp:extent cx="1557020" cy="732790"/>
            <wp:effectExtent l="0" t="0" r="5080" b="0"/>
            <wp:wrapSquare wrapText="bothSides" distT="45720" distB="45720" distL="114300" distR="11430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5C2B" w:rsidRDefault="00B15C2B">
      <w:pPr>
        <w:jc w:val="center"/>
        <w:rPr>
          <w:b/>
          <w:sz w:val="36"/>
          <w:szCs w:val="36"/>
        </w:rPr>
      </w:pPr>
    </w:p>
    <w:p w:rsidR="00B15C2B" w:rsidRDefault="00B15C2B">
      <w:pPr>
        <w:jc w:val="center"/>
        <w:rPr>
          <w:b/>
          <w:sz w:val="36"/>
          <w:szCs w:val="36"/>
        </w:rPr>
      </w:pPr>
    </w:p>
    <w:p w:rsidR="00B15C2B" w:rsidRDefault="00B15C2B">
      <w:pPr>
        <w:jc w:val="center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</w:p>
    <w:p w:rsidR="00B15C2B" w:rsidRDefault="00292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 Essential Guide to International GCSE Art and Design Component 1: Personal Portfolio</w:t>
      </w:r>
    </w:p>
    <w:p w:rsidR="00B15C2B" w:rsidRDefault="00B15C2B">
      <w:pPr>
        <w:jc w:val="center"/>
        <w:rPr>
          <w:b/>
          <w:sz w:val="36"/>
          <w:szCs w:val="36"/>
        </w:rPr>
      </w:pPr>
    </w:p>
    <w:p w:rsidR="00B15C2B" w:rsidRDefault="00B15C2B">
      <w:pPr>
        <w:rPr>
          <w:b/>
          <w:sz w:val="36"/>
          <w:szCs w:val="36"/>
        </w:rPr>
      </w:pPr>
    </w:p>
    <w:p w:rsidR="00B15C2B" w:rsidRDefault="00292308">
      <w:pPr>
        <w:rPr>
          <w:sz w:val="32"/>
          <w:szCs w:val="32"/>
        </w:rPr>
      </w:pPr>
      <w:r>
        <w:rPr>
          <w:sz w:val="32"/>
          <w:szCs w:val="32"/>
        </w:rPr>
        <w:t>Here are some key points about teaching Component 1 and the submission of work:</w:t>
      </w:r>
    </w:p>
    <w:p w:rsidR="00B15C2B" w:rsidRDefault="00B15C2B">
      <w:pPr>
        <w:rPr>
          <w:sz w:val="32"/>
          <w:szCs w:val="32"/>
        </w:rPr>
      </w:pPr>
    </w:p>
    <w:p w:rsidR="00B15C2B" w:rsidRDefault="00292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Centres are free to devise their own themes during the course or use a title from a past examination paper. </w:t>
      </w:r>
    </w:p>
    <w:p w:rsidR="00B15C2B" w:rsidRDefault="00292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Teaching and learning support materials can be found </w:t>
      </w:r>
      <w:hyperlink r:id="rId6" w:anchor="filterQuery=Pearson-UK:Category%2FTeaching-and-learning-materials">
        <w:r>
          <w:rPr>
            <w:color w:val="0000FF"/>
            <w:sz w:val="32"/>
            <w:szCs w:val="32"/>
            <w:u w:val="single"/>
          </w:rPr>
          <w:t>here</w:t>
        </w:r>
      </w:hyperlink>
      <w:r>
        <w:rPr>
          <w:color w:val="000000"/>
          <w:sz w:val="32"/>
          <w:szCs w:val="32"/>
        </w:rPr>
        <w:t xml:space="preserve"> </w:t>
      </w:r>
    </w:p>
    <w:p w:rsidR="00B15C2B" w:rsidRDefault="00B15C2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:rsidR="00B15C2B" w:rsidRDefault="00292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format for final assessment is </w:t>
      </w:r>
      <w:r>
        <w:rPr>
          <w:b/>
          <w:color w:val="000000"/>
          <w:sz w:val="32"/>
          <w:szCs w:val="32"/>
        </w:rPr>
        <w:t>3 x A2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sheets for the research, ideas development and exploration,</w:t>
      </w:r>
      <w:r>
        <w:rPr>
          <w:color w:val="000000"/>
          <w:sz w:val="32"/>
          <w:szCs w:val="32"/>
        </w:rPr>
        <w:t xml:space="preserve"> and </w:t>
      </w:r>
      <w:r>
        <w:rPr>
          <w:b/>
          <w:sz w:val="32"/>
          <w:szCs w:val="32"/>
        </w:rPr>
        <w:t>1 x A2</w:t>
      </w:r>
      <w:r>
        <w:rPr>
          <w:sz w:val="32"/>
          <w:szCs w:val="32"/>
        </w:rPr>
        <w:t xml:space="preserve"> sheet for the</w:t>
      </w:r>
      <w:r>
        <w:rPr>
          <w:color w:val="000000"/>
          <w:sz w:val="32"/>
          <w:szCs w:val="32"/>
        </w:rPr>
        <w:t xml:space="preserve"> final outcome -</w:t>
      </w:r>
      <w:r>
        <w:rPr>
          <w:sz w:val="32"/>
          <w:szCs w:val="32"/>
        </w:rPr>
        <w:t xml:space="preserve"> four A2 sheets in total.</w:t>
      </w:r>
    </w:p>
    <w:p w:rsidR="00B15C2B" w:rsidRDefault="00292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Centres will submit</w:t>
      </w:r>
      <w:r>
        <w:rPr>
          <w:b/>
          <w:color w:val="000000"/>
          <w:sz w:val="32"/>
          <w:szCs w:val="32"/>
        </w:rPr>
        <w:t xml:space="preserve"> one</w:t>
      </w:r>
      <w:r>
        <w:rPr>
          <w:color w:val="000000"/>
          <w:sz w:val="32"/>
          <w:szCs w:val="32"/>
        </w:rPr>
        <w:t xml:space="preserve"> project from each candidate along with an authentication form. </w:t>
      </w:r>
      <w:r>
        <w:rPr>
          <w:b/>
          <w:color w:val="000000"/>
          <w:sz w:val="32"/>
          <w:szCs w:val="32"/>
        </w:rPr>
        <w:t xml:space="preserve">Please note you do not mark the work - this will be done by the examining team. </w:t>
      </w:r>
      <w:r>
        <w:rPr>
          <w:color w:val="000000"/>
          <w:sz w:val="32"/>
          <w:szCs w:val="32"/>
        </w:rPr>
        <w:t>The tot</w:t>
      </w:r>
      <w:r>
        <w:rPr>
          <w:sz w:val="32"/>
          <w:szCs w:val="32"/>
        </w:rPr>
        <w:t xml:space="preserve">al marks available for the Personal Portfolio is 72 and covers 50% of the qualification. </w:t>
      </w:r>
    </w:p>
    <w:p w:rsidR="00B15C2B" w:rsidRDefault="00292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Centres should select the best project that each candidate has produced during the course</w:t>
      </w:r>
      <w:r>
        <w:rPr>
          <w:sz w:val="32"/>
          <w:szCs w:val="32"/>
        </w:rPr>
        <w:t>. This would be one that exemplifies a full ‘work journey’ and provides evidence for all Assessment Objectives.</w:t>
      </w:r>
    </w:p>
    <w:p w:rsidR="00B15C2B" w:rsidRDefault="00292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</w:t>
      </w:r>
      <w:r>
        <w:rPr>
          <w:b/>
          <w:color w:val="000000"/>
          <w:sz w:val="32"/>
          <w:szCs w:val="32"/>
        </w:rPr>
        <w:t>quality</w:t>
      </w:r>
      <w:r>
        <w:rPr>
          <w:color w:val="000000"/>
          <w:sz w:val="32"/>
          <w:szCs w:val="32"/>
        </w:rPr>
        <w:t xml:space="preserve"> of the work is key</w:t>
      </w:r>
      <w:r>
        <w:rPr>
          <w:sz w:val="32"/>
          <w:szCs w:val="32"/>
        </w:rPr>
        <w:t>. Y</w:t>
      </w:r>
      <w:r>
        <w:rPr>
          <w:color w:val="000000"/>
          <w:sz w:val="32"/>
          <w:szCs w:val="32"/>
        </w:rPr>
        <w:t xml:space="preserve">ou should support candidates </w:t>
      </w:r>
      <w:r>
        <w:rPr>
          <w:sz w:val="32"/>
          <w:szCs w:val="32"/>
        </w:rPr>
        <w:t>in their selection of</w:t>
      </w:r>
      <w:r>
        <w:rPr>
          <w:color w:val="000000"/>
          <w:sz w:val="32"/>
          <w:szCs w:val="32"/>
        </w:rPr>
        <w:t xml:space="preserve"> a </w:t>
      </w:r>
      <w:r>
        <w:rPr>
          <w:b/>
          <w:color w:val="000000"/>
          <w:sz w:val="32"/>
          <w:szCs w:val="32"/>
        </w:rPr>
        <w:t>focussed</w:t>
      </w:r>
      <w:r>
        <w:rPr>
          <w:color w:val="000000"/>
          <w:sz w:val="32"/>
          <w:szCs w:val="32"/>
        </w:rPr>
        <w:t xml:space="preserve"> body of work for submission. This should provide</w:t>
      </w:r>
      <w:r>
        <w:rPr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evidence of the progression of their ideas and their work, the four assessment objectives</w:t>
      </w:r>
      <w:r>
        <w:rPr>
          <w:sz w:val="32"/>
          <w:szCs w:val="32"/>
        </w:rPr>
        <w:t xml:space="preserve">, evidence of drawing appropriate to the discipline in which they are working, and annotations that use and demonstrate an understanding of the language appropriate to that discipline. </w:t>
      </w:r>
    </w:p>
    <w:p w:rsidR="00B15C2B" w:rsidRDefault="00292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Please note that sketchbooks and large scale work must not be </w:t>
      </w:r>
      <w:proofErr w:type="gramStart"/>
      <w:r>
        <w:rPr>
          <w:b/>
          <w:color w:val="000000"/>
          <w:sz w:val="32"/>
          <w:szCs w:val="32"/>
        </w:rPr>
        <w:t>submitted</w:t>
      </w:r>
      <w:proofErr w:type="gramEnd"/>
      <w:r>
        <w:rPr>
          <w:b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Centre guidance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gives clear information on how to photograph large scale work/3D work. Please see the guidance document </w:t>
      </w:r>
      <w:hyperlink r:id="rId7" w:anchor="filterQuery=category:Pearson-UK:Category%2FForms-and-administration">
        <w:r>
          <w:rPr>
            <w:color w:val="0000FF"/>
            <w:sz w:val="32"/>
            <w:szCs w:val="32"/>
            <w:u w:val="single"/>
          </w:rPr>
          <w:t>here</w:t>
        </w:r>
      </w:hyperlink>
    </w:p>
    <w:p w:rsidR="00B15C2B" w:rsidRDefault="00B15C2B">
      <w:pPr>
        <w:ind w:left="-360" w:firstLine="360"/>
        <w:jc w:val="both"/>
        <w:rPr>
          <w:sz w:val="32"/>
          <w:szCs w:val="32"/>
        </w:rPr>
      </w:pPr>
    </w:p>
    <w:p w:rsidR="00B15C2B" w:rsidRDefault="00292308">
      <w:pPr>
        <w:ind w:left="-360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Exemplars</w:t>
      </w:r>
    </w:p>
    <w:p w:rsidR="00B15C2B" w:rsidRDefault="00B15C2B">
      <w:pPr>
        <w:ind w:left="-360"/>
        <w:jc w:val="both"/>
        <w:rPr>
          <w:sz w:val="32"/>
          <w:szCs w:val="32"/>
        </w:rPr>
      </w:pPr>
    </w:p>
    <w:p w:rsidR="00B15C2B" w:rsidRDefault="002923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Centres will find it useful to refer to Component 1 exemplars </w:t>
      </w:r>
      <w:hyperlink r:id="rId8">
        <w:r>
          <w:rPr>
            <w:color w:val="0000FF"/>
            <w:sz w:val="32"/>
            <w:szCs w:val="32"/>
            <w:u w:val="single"/>
          </w:rPr>
          <w:t>here</w:t>
        </w:r>
      </w:hyperlink>
      <w:r>
        <w:rPr>
          <w:sz w:val="32"/>
          <w:szCs w:val="32"/>
        </w:rPr>
        <w:t>. In this document you will find the new assessment grid and taxonomy, along with a mark breakdown for a selection of candidates’ work across the performance levels. This is legacy specification work marked by the Senior Examining Team.</w:t>
      </w:r>
    </w:p>
    <w:p w:rsidR="00B15C2B" w:rsidRDefault="00B15C2B">
      <w:pPr>
        <w:jc w:val="both"/>
        <w:rPr>
          <w:sz w:val="32"/>
          <w:szCs w:val="32"/>
        </w:rPr>
      </w:pPr>
    </w:p>
    <w:p w:rsidR="00B15C2B" w:rsidRDefault="00292308">
      <w:pPr>
        <w:jc w:val="both"/>
        <w:rPr>
          <w:sz w:val="32"/>
          <w:szCs w:val="32"/>
        </w:rPr>
      </w:pPr>
      <w:r>
        <w:rPr>
          <w:sz w:val="32"/>
          <w:szCs w:val="32"/>
        </w:rPr>
        <w:t>In addition, please see below one candidate’s submission on the theme ‘Collections’. It is an example of work at the top of Level 4: Competent &amp; Consistent Ability, with a total mark of 47 as shown on the taxonomy and assessment grid.</w:t>
      </w:r>
    </w:p>
    <w:p w:rsidR="00B15C2B" w:rsidRDefault="00B15C2B">
      <w:pPr>
        <w:jc w:val="both"/>
        <w:rPr>
          <w:sz w:val="32"/>
          <w:szCs w:val="32"/>
        </w:rPr>
      </w:pPr>
    </w:p>
    <w:p w:rsidR="00B15C2B" w:rsidRDefault="00B15C2B">
      <w:pPr>
        <w:jc w:val="both"/>
        <w:rPr>
          <w:sz w:val="32"/>
          <w:szCs w:val="32"/>
        </w:rPr>
      </w:pPr>
    </w:p>
    <w:p w:rsidR="00B15C2B" w:rsidRDefault="00292308">
      <w:pPr>
        <w:tabs>
          <w:tab w:val="left" w:pos="343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15C2B" w:rsidRDefault="00292308">
      <w:pPr>
        <w:tabs>
          <w:tab w:val="left" w:pos="3435"/>
        </w:tabs>
        <w:jc w:val="center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-1026158</wp:posOffset>
            </wp:positionH>
            <wp:positionV relativeFrom="paragraph">
              <wp:posOffset>264160</wp:posOffset>
            </wp:positionV>
            <wp:extent cx="2837993" cy="2059851"/>
            <wp:effectExtent l="-389070" t="389071" r="-389070" b="389071"/>
            <wp:wrapNone/>
            <wp:docPr id="7" name="image4.jpg" descr="C:\Users\Examiner\Desktop\IMG_06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Examiner\Desktop\IMG_0609.JPG"/>
                    <pic:cNvPicPr preferRelativeResize="0"/>
                  </pic:nvPicPr>
                  <pic:blipFill>
                    <a:blip r:embed="rId9"/>
                    <a:srcRect l="10426" t="12038" r="11720" b="64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7993" cy="2059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3714750</wp:posOffset>
            </wp:positionH>
            <wp:positionV relativeFrom="paragraph">
              <wp:posOffset>246380</wp:posOffset>
            </wp:positionV>
            <wp:extent cx="2793112" cy="2215391"/>
            <wp:effectExtent l="-288860" t="288860" r="-288860" b="288860"/>
            <wp:wrapNone/>
            <wp:docPr id="3" name="image7.jpg" descr="C:\Users\Examiner\Desktop\IMG_06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Examiner\Desktop\IMG_0607.JPG"/>
                    <pic:cNvPicPr preferRelativeResize="0"/>
                  </pic:nvPicPr>
                  <pic:blipFill>
                    <a:blip r:embed="rId10"/>
                    <a:srcRect l="10979" t="9091" r="10981" b="576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3112" cy="221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C2B" w:rsidRDefault="00292308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1337310</wp:posOffset>
            </wp:positionH>
            <wp:positionV relativeFrom="paragraph">
              <wp:posOffset>47201</wp:posOffset>
            </wp:positionV>
            <wp:extent cx="2808605" cy="2084766"/>
            <wp:effectExtent l="-361919" t="361919" r="-361919" b="361919"/>
            <wp:wrapNone/>
            <wp:docPr id="1" name="image2.jpg" descr="C:\Users\Examiner\Desktop\IMG_06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Examiner\Desktop\IMG_0608.JPG"/>
                    <pic:cNvPicPr preferRelativeResize="0"/>
                  </pic:nvPicPr>
                  <pic:blipFill>
                    <a:blip r:embed="rId11"/>
                    <a:srcRect l="11149" t="6873" r="11644" b="130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8605" cy="2084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rPr>
          <w:sz w:val="32"/>
          <w:szCs w:val="32"/>
        </w:rPr>
      </w:pPr>
    </w:p>
    <w:p w:rsidR="00B15C2B" w:rsidRDefault="00292308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770467</wp:posOffset>
            </wp:positionH>
            <wp:positionV relativeFrom="paragraph">
              <wp:posOffset>164253</wp:posOffset>
            </wp:positionV>
            <wp:extent cx="3900290" cy="2620547"/>
            <wp:effectExtent l="0" t="0" r="0" b="0"/>
            <wp:wrapNone/>
            <wp:docPr id="2" name="image5.jpg" descr="C:\Users\Examiner\Desktop\IMG_06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Examiner\Desktop\IMG_0610.JPG"/>
                    <pic:cNvPicPr preferRelativeResize="0"/>
                  </pic:nvPicPr>
                  <pic:blipFill>
                    <a:blip r:embed="rId12"/>
                    <a:srcRect l="9484" t="12860" r="8985" b="3768"/>
                    <a:stretch>
                      <a:fillRect/>
                    </a:stretch>
                  </pic:blipFill>
                  <pic:spPr>
                    <a:xfrm>
                      <a:off x="0" y="0"/>
                      <a:ext cx="3900290" cy="2620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C2B" w:rsidRDefault="00B15C2B">
      <w:pPr>
        <w:rPr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p w:rsidR="00B15C2B" w:rsidRDefault="002923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-576579</wp:posOffset>
            </wp:positionH>
            <wp:positionV relativeFrom="paragraph">
              <wp:posOffset>208280</wp:posOffset>
            </wp:positionV>
            <wp:extent cx="3547110" cy="2294255"/>
            <wp:effectExtent l="0" t="0" r="0" b="0"/>
            <wp:wrapNone/>
            <wp:docPr id="5" name="image6.jpg" descr="C:\Users\Examiner\Desktop\IMG_0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Examiner\Desktop\IMG_0604.JPG"/>
                    <pic:cNvPicPr preferRelativeResize="0"/>
                  </pic:nvPicPr>
                  <pic:blipFill>
                    <a:blip r:embed="rId13"/>
                    <a:srcRect l="12812" t="14854" r="12810" b="12861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2294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3144520</wp:posOffset>
            </wp:positionH>
            <wp:positionV relativeFrom="paragraph">
              <wp:posOffset>190500</wp:posOffset>
            </wp:positionV>
            <wp:extent cx="3359907" cy="2319655"/>
            <wp:effectExtent l="0" t="0" r="0" b="0"/>
            <wp:wrapNone/>
            <wp:docPr id="4" name="image1.jpg" descr="C:\Users\Examiner\Desktop\IMG_06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xaminer\Desktop\IMG_0606.JPG"/>
                    <pic:cNvPicPr preferRelativeResize="0"/>
                  </pic:nvPicPr>
                  <pic:blipFill>
                    <a:blip r:embed="rId14"/>
                    <a:srcRect l="6489" t="8204" r="5325"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3359907" cy="231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C2B" w:rsidRDefault="00B15C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15C2B" w:rsidRDefault="00B15C2B">
      <w:pPr>
        <w:jc w:val="both"/>
        <w:rPr>
          <w:b/>
          <w:color w:val="FF0000"/>
          <w:sz w:val="32"/>
          <w:szCs w:val="32"/>
        </w:rPr>
      </w:pPr>
    </w:p>
    <w:sectPr w:rsidR="00B15C2B">
      <w:pgSz w:w="11900" w:h="16840"/>
      <w:pgMar w:top="425" w:right="1440" w:bottom="425" w:left="1440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7C2"/>
    <w:multiLevelType w:val="multilevel"/>
    <w:tmpl w:val="59D23F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C2B"/>
    <w:rsid w:val="00292308"/>
    <w:rsid w:val="00575C61"/>
    <w:rsid w:val="00B15C2B"/>
    <w:rsid w:val="00D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08F2B-577B-4955-B29E-8D3FDAEF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International%20GCSE/Art%20and%20Design/2017/teaching-and-learning-materials/IGCSE%20New%20Spec%20Art%20&amp;%20Design%20Exemplars%20-%20Component%201.pdf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qualifications.pearson.com/en/qualifications/edexcel-international-gcses-and-edexcel-certificates/international-gcse-art-and-design-2017.coursematerials.html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alifications.pearson.com/en/qualifications/edexcel-international-gcses-and-edexcel-certificates/international-gcse-art-and-design-2017.coursematerials.html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Joanne</dc:creator>
  <cp:lastModifiedBy>Hill, Joanne</cp:lastModifiedBy>
  <cp:revision>4</cp:revision>
  <dcterms:created xsi:type="dcterms:W3CDTF">2019-01-21T18:08:00Z</dcterms:created>
  <dcterms:modified xsi:type="dcterms:W3CDTF">2019-01-21T18:10:00Z</dcterms:modified>
</cp:coreProperties>
</file>